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D9E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打开操作题文件夹中的</w:t>
      </w:r>
      <w:r w:rsidRPr="006861A4">
        <w:rPr>
          <w:rFonts w:hint="eastAsia"/>
          <w:sz w:val="24"/>
          <w:szCs w:val="24"/>
        </w:rPr>
        <w:t>ED3.DOCX</w:t>
      </w:r>
      <w:r w:rsidRPr="006861A4">
        <w:rPr>
          <w:rFonts w:hint="eastAsia"/>
          <w:sz w:val="24"/>
          <w:szCs w:val="24"/>
        </w:rPr>
        <w:t>文件，参考样张按下列要求进行操作。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(1)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将页面设置为：</w:t>
      </w:r>
      <w:r w:rsidRPr="006861A4">
        <w:rPr>
          <w:rFonts w:hint="eastAsia"/>
          <w:sz w:val="24"/>
          <w:szCs w:val="24"/>
        </w:rPr>
        <w:t>A4</w:t>
      </w:r>
      <w:r w:rsidRPr="006861A4">
        <w:rPr>
          <w:rFonts w:hint="eastAsia"/>
          <w:sz w:val="24"/>
          <w:szCs w:val="24"/>
        </w:rPr>
        <w:t>纸，上、下、左、右页边距均为</w:t>
      </w:r>
      <w:r w:rsidRPr="006861A4">
        <w:rPr>
          <w:rFonts w:hint="eastAsia"/>
          <w:sz w:val="24"/>
          <w:szCs w:val="24"/>
        </w:rPr>
        <w:t>2.5</w:t>
      </w:r>
      <w:r w:rsidRPr="006861A4">
        <w:rPr>
          <w:rFonts w:hint="eastAsia"/>
          <w:sz w:val="24"/>
          <w:szCs w:val="24"/>
        </w:rPr>
        <w:t>厘米，每页</w:t>
      </w:r>
      <w:r w:rsidRPr="006861A4">
        <w:rPr>
          <w:rFonts w:hint="eastAsia"/>
          <w:sz w:val="24"/>
          <w:szCs w:val="24"/>
        </w:rPr>
        <w:t>42</w:t>
      </w:r>
      <w:r w:rsidRPr="006861A4">
        <w:rPr>
          <w:rFonts w:hint="eastAsia"/>
          <w:sz w:val="24"/>
          <w:szCs w:val="24"/>
        </w:rPr>
        <w:t>行，每行</w:t>
      </w:r>
      <w:r w:rsidRPr="006861A4">
        <w:rPr>
          <w:rFonts w:hint="eastAsia"/>
          <w:sz w:val="24"/>
          <w:szCs w:val="24"/>
        </w:rPr>
        <w:t>40</w:t>
      </w:r>
      <w:r w:rsidRPr="006861A4">
        <w:rPr>
          <w:rFonts w:hint="eastAsia"/>
          <w:sz w:val="24"/>
          <w:szCs w:val="24"/>
        </w:rPr>
        <w:t>个字符；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(2)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给文章加标题“建设高铁”，设置其格式为幼圆、加粗、三号字、字符间距缩放</w:t>
      </w:r>
      <w:r w:rsidRPr="006861A4">
        <w:rPr>
          <w:rFonts w:hint="eastAsia"/>
          <w:sz w:val="24"/>
          <w:szCs w:val="24"/>
        </w:rPr>
        <w:t>200%</w:t>
      </w:r>
      <w:r w:rsidRPr="006861A4">
        <w:rPr>
          <w:rFonts w:hint="eastAsia"/>
          <w:sz w:val="24"/>
          <w:szCs w:val="24"/>
        </w:rPr>
        <w:t>、加宽</w:t>
      </w:r>
      <w:r w:rsidRPr="006861A4">
        <w:rPr>
          <w:rFonts w:hint="eastAsia"/>
          <w:sz w:val="24"/>
          <w:szCs w:val="24"/>
        </w:rPr>
        <w:t>2</w:t>
      </w:r>
      <w:r w:rsidRPr="006861A4">
        <w:rPr>
          <w:rFonts w:hint="eastAsia"/>
          <w:sz w:val="24"/>
          <w:szCs w:val="24"/>
        </w:rPr>
        <w:t>磅，居中显示，给标题段落添加双线、标准色</w:t>
      </w:r>
      <w:r w:rsidRPr="006861A4">
        <w:rPr>
          <w:rFonts w:hint="eastAsia"/>
          <w:sz w:val="24"/>
          <w:szCs w:val="24"/>
        </w:rPr>
        <w:t>-</w:t>
      </w:r>
      <w:r w:rsidRPr="006861A4">
        <w:rPr>
          <w:rFonts w:hint="eastAsia"/>
          <w:sz w:val="24"/>
          <w:szCs w:val="24"/>
        </w:rPr>
        <w:t>绿色、</w:t>
      </w:r>
      <w:r w:rsidRPr="006861A4">
        <w:rPr>
          <w:rFonts w:hint="eastAsia"/>
          <w:sz w:val="24"/>
          <w:szCs w:val="24"/>
        </w:rPr>
        <w:t>1.5</w:t>
      </w:r>
      <w:r w:rsidRPr="006861A4">
        <w:rPr>
          <w:rFonts w:hint="eastAsia"/>
          <w:sz w:val="24"/>
          <w:szCs w:val="24"/>
        </w:rPr>
        <w:t>磅方框；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(3)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设置正文第二段首字下沉</w:t>
      </w:r>
      <w:r w:rsidRPr="006861A4">
        <w:rPr>
          <w:rFonts w:hint="eastAsia"/>
          <w:sz w:val="24"/>
          <w:szCs w:val="24"/>
        </w:rPr>
        <w:t>3</w:t>
      </w:r>
      <w:r w:rsidRPr="006861A4">
        <w:rPr>
          <w:rFonts w:hint="eastAsia"/>
          <w:sz w:val="24"/>
          <w:szCs w:val="24"/>
        </w:rPr>
        <w:t>行，距正文</w:t>
      </w:r>
      <w:r w:rsidRPr="006861A4">
        <w:rPr>
          <w:rFonts w:hint="eastAsia"/>
          <w:sz w:val="24"/>
          <w:szCs w:val="24"/>
        </w:rPr>
        <w:t>0.1</w:t>
      </w:r>
      <w:r w:rsidRPr="006861A4">
        <w:rPr>
          <w:rFonts w:hint="eastAsia"/>
          <w:sz w:val="24"/>
          <w:szCs w:val="24"/>
        </w:rPr>
        <w:t>厘米，首字字体为黑体，其余各段设置为首行缩进</w:t>
      </w:r>
      <w:r w:rsidRPr="006861A4">
        <w:rPr>
          <w:rFonts w:hint="eastAsia"/>
          <w:sz w:val="24"/>
          <w:szCs w:val="24"/>
        </w:rPr>
        <w:t>2</w:t>
      </w:r>
      <w:r w:rsidRPr="006861A4">
        <w:rPr>
          <w:rFonts w:hint="eastAsia"/>
          <w:sz w:val="24"/>
          <w:szCs w:val="24"/>
        </w:rPr>
        <w:t>字符；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(4)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将正文中所有的“高速铁路”设置为标准色</w:t>
      </w:r>
      <w:r w:rsidRPr="006861A4">
        <w:rPr>
          <w:rFonts w:hint="eastAsia"/>
          <w:sz w:val="24"/>
          <w:szCs w:val="24"/>
        </w:rPr>
        <w:t>-</w:t>
      </w:r>
      <w:r w:rsidRPr="006861A4">
        <w:rPr>
          <w:rFonts w:hint="eastAsia"/>
          <w:sz w:val="24"/>
          <w:szCs w:val="24"/>
        </w:rPr>
        <w:t>红色、倾斜、加着重号；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(5)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参考样张，在正文适当位置插入图片“和谐号</w:t>
      </w:r>
      <w:r w:rsidRPr="006861A4">
        <w:rPr>
          <w:rFonts w:hint="eastAsia"/>
          <w:sz w:val="24"/>
          <w:szCs w:val="24"/>
        </w:rPr>
        <w:t>.jpg</w:t>
      </w:r>
      <w:r w:rsidRPr="006861A4">
        <w:rPr>
          <w:rFonts w:hint="eastAsia"/>
          <w:sz w:val="24"/>
          <w:szCs w:val="24"/>
        </w:rPr>
        <w:t>”，设置图片高度为</w:t>
      </w:r>
      <w:r w:rsidRPr="006861A4">
        <w:rPr>
          <w:rFonts w:hint="eastAsia"/>
          <w:sz w:val="24"/>
          <w:szCs w:val="24"/>
        </w:rPr>
        <w:t>5</w:t>
      </w:r>
      <w:r w:rsidRPr="006861A4">
        <w:rPr>
          <w:rFonts w:hint="eastAsia"/>
          <w:sz w:val="24"/>
          <w:szCs w:val="24"/>
        </w:rPr>
        <w:t>厘米、宽度为</w:t>
      </w:r>
      <w:r w:rsidRPr="006861A4">
        <w:rPr>
          <w:rFonts w:hint="eastAsia"/>
          <w:sz w:val="24"/>
          <w:szCs w:val="24"/>
        </w:rPr>
        <w:t>7</w:t>
      </w:r>
      <w:r w:rsidRPr="006861A4">
        <w:rPr>
          <w:rFonts w:hint="eastAsia"/>
          <w:sz w:val="24"/>
          <w:szCs w:val="24"/>
        </w:rPr>
        <w:t>厘米，环绕方式为穿越型；</w:t>
      </w:r>
      <w:r w:rsidRPr="006861A4">
        <w:rPr>
          <w:rFonts w:hint="eastAsia"/>
          <w:sz w:val="24"/>
          <w:szCs w:val="24"/>
        </w:rPr>
        <w:t xml:space="preserve"> 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(6)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为正文倒数第二段添加带阴影、标准色</w:t>
      </w:r>
      <w:r w:rsidRPr="006861A4">
        <w:rPr>
          <w:rFonts w:hint="eastAsia"/>
          <w:sz w:val="24"/>
          <w:szCs w:val="24"/>
        </w:rPr>
        <w:t>-</w:t>
      </w:r>
      <w:r w:rsidRPr="006861A4">
        <w:rPr>
          <w:rFonts w:hint="eastAsia"/>
          <w:sz w:val="24"/>
          <w:szCs w:val="24"/>
        </w:rPr>
        <w:t>蓝色、</w:t>
      </w:r>
      <w:r w:rsidRPr="006861A4">
        <w:rPr>
          <w:rFonts w:hint="eastAsia"/>
          <w:sz w:val="24"/>
          <w:szCs w:val="24"/>
        </w:rPr>
        <w:t>1.5</w:t>
      </w:r>
      <w:r w:rsidRPr="006861A4">
        <w:rPr>
          <w:rFonts w:hint="eastAsia"/>
          <w:sz w:val="24"/>
          <w:szCs w:val="24"/>
        </w:rPr>
        <w:t>磅边框，填充标准色</w:t>
      </w:r>
      <w:r w:rsidRPr="006861A4">
        <w:rPr>
          <w:rFonts w:hint="eastAsia"/>
          <w:sz w:val="24"/>
          <w:szCs w:val="24"/>
        </w:rPr>
        <w:t>-</w:t>
      </w:r>
      <w:r w:rsidRPr="006861A4">
        <w:rPr>
          <w:rFonts w:hint="eastAsia"/>
          <w:sz w:val="24"/>
          <w:szCs w:val="24"/>
        </w:rPr>
        <w:t>绿色底纹；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(7)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参考样张，在正文适当位置插入云形标注，添加文字“拉动内需”，设置文字格式为宋体、四号字，形状填充主题颜色</w:t>
      </w:r>
      <w:r w:rsidRPr="006861A4">
        <w:rPr>
          <w:rFonts w:hint="eastAsia"/>
          <w:sz w:val="24"/>
          <w:szCs w:val="24"/>
        </w:rPr>
        <w:t>-</w:t>
      </w:r>
      <w:r w:rsidRPr="006861A4">
        <w:rPr>
          <w:rFonts w:hint="eastAsia"/>
          <w:sz w:val="24"/>
          <w:szCs w:val="24"/>
        </w:rPr>
        <w:t>水绿色、强调文字颜色</w:t>
      </w:r>
      <w:r w:rsidRPr="006861A4">
        <w:rPr>
          <w:rFonts w:hint="eastAsia"/>
          <w:sz w:val="24"/>
          <w:szCs w:val="24"/>
        </w:rPr>
        <w:t>5</w:t>
      </w:r>
      <w:r w:rsidRPr="006861A4">
        <w:rPr>
          <w:rFonts w:hint="eastAsia"/>
          <w:sz w:val="24"/>
          <w:szCs w:val="24"/>
        </w:rPr>
        <w:t>、淡色</w:t>
      </w:r>
      <w:r w:rsidRPr="006861A4">
        <w:rPr>
          <w:rFonts w:hint="eastAsia"/>
          <w:sz w:val="24"/>
          <w:szCs w:val="24"/>
        </w:rPr>
        <w:t>40%</w:t>
      </w:r>
      <w:r w:rsidRPr="006861A4">
        <w:rPr>
          <w:rFonts w:hint="eastAsia"/>
          <w:sz w:val="24"/>
          <w:szCs w:val="24"/>
        </w:rPr>
        <w:t>，环绕方式为四周型；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(8)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设置奇数页页眉为“高铁经济”，偶数页页眉为“飞速发展”，均居中显示，并在所有页插入“年刊型”页脚；</w:t>
      </w:r>
    </w:p>
    <w:p w:rsidR="000C7D9E" w:rsidRPr="006861A4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(9)</w:t>
      </w:r>
      <w:r w:rsidRPr="006861A4">
        <w:rPr>
          <w:rFonts w:hint="eastAsia"/>
          <w:sz w:val="24"/>
          <w:szCs w:val="24"/>
        </w:rPr>
        <w:tab/>
      </w:r>
      <w:r w:rsidRPr="006861A4">
        <w:rPr>
          <w:rFonts w:hint="eastAsia"/>
          <w:sz w:val="24"/>
          <w:szCs w:val="24"/>
        </w:rPr>
        <w:t>保存文件</w:t>
      </w:r>
      <w:r w:rsidRPr="006861A4">
        <w:rPr>
          <w:rFonts w:hint="eastAsia"/>
          <w:sz w:val="24"/>
          <w:szCs w:val="24"/>
        </w:rPr>
        <w:t>ED3.DOCX</w:t>
      </w:r>
      <w:r w:rsidRPr="006861A4">
        <w:rPr>
          <w:rFonts w:hint="eastAsia"/>
          <w:sz w:val="24"/>
          <w:szCs w:val="24"/>
        </w:rPr>
        <w:t>。</w:t>
      </w:r>
    </w:p>
    <w:p w:rsidR="000C7D9E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hint="eastAsia"/>
          <w:sz w:val="24"/>
          <w:szCs w:val="24"/>
        </w:rPr>
        <w:t>样张：</w:t>
      </w:r>
    </w:p>
    <w:p w:rsidR="000C7D9E" w:rsidRPr="00540EE1" w:rsidRDefault="000C7D9E" w:rsidP="000C7D9E">
      <w:pPr>
        <w:ind w:right="16"/>
        <w:rPr>
          <w:rFonts w:hint="eastAsia"/>
          <w:sz w:val="24"/>
          <w:szCs w:val="24"/>
        </w:rPr>
      </w:pPr>
      <w:r w:rsidRPr="006861A4">
        <w:rPr>
          <w:rFonts w:ascii="宋体" w:eastAsia="宋体" w:hAnsi="Arial" w:cs="宋体"/>
          <w:b/>
          <w:i/>
          <w:noProof/>
          <w:w w:val="99"/>
          <w:kern w:val="0"/>
          <w:sz w:val="32"/>
          <w:szCs w:val="32"/>
        </w:rPr>
        <w:drawing>
          <wp:inline distT="0" distB="0" distL="0" distR="0">
            <wp:extent cx="5082540" cy="3436620"/>
            <wp:effectExtent l="0" t="0" r="381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343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D9E" w:rsidRDefault="000C7D9E" w:rsidP="00870EA2">
      <w:pPr>
        <w:ind w:right="16"/>
        <w:rPr>
          <w:szCs w:val="21"/>
        </w:rPr>
      </w:pPr>
      <w:bookmarkStart w:id="0" w:name="_GoBack"/>
      <w:bookmarkEnd w:id="0"/>
    </w:p>
    <w:p w:rsidR="00870EA2" w:rsidRPr="00803917" w:rsidRDefault="00870EA2" w:rsidP="00870EA2">
      <w:pPr>
        <w:ind w:right="16"/>
        <w:rPr>
          <w:rFonts w:hint="eastAsia"/>
          <w:szCs w:val="21"/>
        </w:rPr>
      </w:pPr>
      <w:r w:rsidRPr="00803917">
        <w:rPr>
          <w:rFonts w:hint="eastAsia"/>
          <w:szCs w:val="21"/>
        </w:rPr>
        <w:t>打开</w:t>
      </w:r>
      <w:r w:rsidRPr="00C554E1">
        <w:rPr>
          <w:rFonts w:hint="eastAsia"/>
          <w:szCs w:val="21"/>
        </w:rPr>
        <w:t>操作题文件夹</w:t>
      </w:r>
      <w:r w:rsidRPr="00803917">
        <w:rPr>
          <w:rFonts w:hint="eastAsia"/>
          <w:szCs w:val="21"/>
        </w:rPr>
        <w:t>中的</w:t>
      </w:r>
      <w:r>
        <w:rPr>
          <w:rFonts w:hint="eastAsia"/>
          <w:szCs w:val="21"/>
        </w:rPr>
        <w:t>EX7</w:t>
      </w:r>
      <w:r w:rsidRPr="00803917">
        <w:rPr>
          <w:rFonts w:hint="eastAsia"/>
          <w:szCs w:val="21"/>
        </w:rPr>
        <w:t>.xlsx</w:t>
      </w:r>
      <w:r w:rsidRPr="00803917">
        <w:rPr>
          <w:rFonts w:hint="eastAsia"/>
          <w:szCs w:val="21"/>
        </w:rPr>
        <w:t>文件，参考插图（附后）按下列要求进行操作</w:t>
      </w:r>
      <w:r w:rsidRPr="00803917">
        <w:rPr>
          <w:rFonts w:hint="eastAsia"/>
          <w:szCs w:val="21"/>
        </w:rPr>
        <w:t>(</w:t>
      </w:r>
      <w:r w:rsidRPr="00803917">
        <w:rPr>
          <w:rFonts w:hint="eastAsia"/>
          <w:szCs w:val="21"/>
        </w:rPr>
        <w:t>除题目要求外</w:t>
      </w:r>
      <w:r w:rsidRPr="00803917">
        <w:rPr>
          <w:rFonts w:hint="eastAsia"/>
          <w:szCs w:val="21"/>
        </w:rPr>
        <w:t>,</w:t>
      </w:r>
      <w:r w:rsidRPr="00803917">
        <w:rPr>
          <w:rFonts w:hint="eastAsia"/>
          <w:szCs w:val="21"/>
        </w:rPr>
        <w:t>不得增加、删除、移动工作表中内容</w:t>
      </w:r>
      <w:r w:rsidRPr="00803917">
        <w:rPr>
          <w:rFonts w:hint="eastAsia"/>
          <w:szCs w:val="21"/>
        </w:rPr>
        <w:t>)</w:t>
      </w:r>
      <w:r w:rsidRPr="00803917">
        <w:rPr>
          <w:rFonts w:hint="eastAsia"/>
          <w:szCs w:val="21"/>
        </w:rPr>
        <w:t>。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1.</w:t>
      </w:r>
      <w:r w:rsidRPr="00035C7A">
        <w:rPr>
          <w:rFonts w:hint="eastAsia"/>
          <w:szCs w:val="21"/>
        </w:rPr>
        <w:t>将</w:t>
      </w:r>
      <w:r w:rsidRPr="00035C7A">
        <w:rPr>
          <w:rFonts w:hint="eastAsia"/>
          <w:szCs w:val="21"/>
        </w:rPr>
        <w:t>Sheet1</w:t>
      </w:r>
      <w:r w:rsidRPr="00035C7A">
        <w:rPr>
          <w:rFonts w:hint="eastAsia"/>
          <w:szCs w:val="21"/>
        </w:rPr>
        <w:t>工作表重命名为“私人汽车”；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2.</w:t>
      </w:r>
      <w:r w:rsidRPr="00035C7A">
        <w:rPr>
          <w:rFonts w:hint="eastAsia"/>
          <w:szCs w:val="21"/>
        </w:rPr>
        <w:t>在“私人汽车”工作表中，设置第一行标题文字“私人汽车拥有量”，在</w:t>
      </w:r>
      <w:r w:rsidRPr="00035C7A">
        <w:rPr>
          <w:rFonts w:hint="eastAsia"/>
          <w:szCs w:val="21"/>
        </w:rPr>
        <w:t>A1:E1</w:t>
      </w:r>
      <w:r w:rsidRPr="00035C7A">
        <w:rPr>
          <w:rFonts w:hint="eastAsia"/>
          <w:szCs w:val="21"/>
        </w:rPr>
        <w:t>单元格区域合并后居中，字体格式为黑体、</w:t>
      </w:r>
      <w:r w:rsidRPr="00035C7A">
        <w:rPr>
          <w:rFonts w:hint="eastAsia"/>
          <w:szCs w:val="21"/>
        </w:rPr>
        <w:t>20</w:t>
      </w:r>
      <w:r w:rsidRPr="00035C7A">
        <w:rPr>
          <w:rFonts w:hint="eastAsia"/>
          <w:szCs w:val="21"/>
        </w:rPr>
        <w:t>号、标准色</w:t>
      </w:r>
      <w:r w:rsidRPr="00035C7A">
        <w:rPr>
          <w:rFonts w:hint="eastAsia"/>
          <w:szCs w:val="21"/>
        </w:rPr>
        <w:t>-</w:t>
      </w:r>
      <w:r w:rsidRPr="00035C7A">
        <w:rPr>
          <w:rFonts w:hint="eastAsia"/>
          <w:szCs w:val="21"/>
        </w:rPr>
        <w:t>红色；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lastRenderedPageBreak/>
        <w:t>3.</w:t>
      </w:r>
      <w:r w:rsidRPr="00035C7A">
        <w:rPr>
          <w:rFonts w:hint="eastAsia"/>
          <w:szCs w:val="21"/>
        </w:rPr>
        <w:t>在“私人汽车”工作表的</w:t>
      </w:r>
      <w:r w:rsidRPr="00035C7A">
        <w:rPr>
          <w:rFonts w:hint="eastAsia"/>
          <w:szCs w:val="21"/>
        </w:rPr>
        <w:t>E</w:t>
      </w:r>
      <w:r w:rsidRPr="00035C7A">
        <w:rPr>
          <w:rFonts w:hint="eastAsia"/>
          <w:szCs w:val="21"/>
        </w:rPr>
        <w:t>列中，利用公式分别计算各地区货车拥有量（货车拥有量为重型、中型、轻型、微型之和），结果以数值格式显示，不保留小数；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4.</w:t>
      </w:r>
      <w:r w:rsidRPr="00035C7A">
        <w:rPr>
          <w:rFonts w:hint="eastAsia"/>
          <w:szCs w:val="21"/>
        </w:rPr>
        <w:t>在“私人汽车”工作表的</w:t>
      </w:r>
      <w:r w:rsidRPr="00035C7A">
        <w:rPr>
          <w:rFonts w:hint="eastAsia"/>
          <w:szCs w:val="21"/>
        </w:rPr>
        <w:t>B</w:t>
      </w:r>
      <w:r w:rsidRPr="00035C7A">
        <w:rPr>
          <w:rFonts w:hint="eastAsia"/>
          <w:szCs w:val="21"/>
        </w:rPr>
        <w:t>列中，利用公式分别计算各地区私人汽车拥有量总计值（总计</w:t>
      </w:r>
      <w:r w:rsidRPr="00035C7A">
        <w:rPr>
          <w:rFonts w:hint="eastAsia"/>
          <w:szCs w:val="21"/>
        </w:rPr>
        <w:t>=</w:t>
      </w:r>
      <w:r w:rsidRPr="00035C7A">
        <w:rPr>
          <w:rFonts w:hint="eastAsia"/>
          <w:szCs w:val="21"/>
        </w:rPr>
        <w:t>其他</w:t>
      </w:r>
      <w:r w:rsidRPr="00035C7A">
        <w:rPr>
          <w:rFonts w:hint="eastAsia"/>
          <w:szCs w:val="21"/>
        </w:rPr>
        <w:t>+</w:t>
      </w:r>
      <w:r w:rsidRPr="00035C7A">
        <w:rPr>
          <w:rFonts w:hint="eastAsia"/>
          <w:szCs w:val="21"/>
        </w:rPr>
        <w:t>客车</w:t>
      </w:r>
      <w:r w:rsidRPr="00035C7A">
        <w:rPr>
          <w:rFonts w:hint="eastAsia"/>
          <w:szCs w:val="21"/>
        </w:rPr>
        <w:t>+</w:t>
      </w:r>
      <w:r w:rsidRPr="00035C7A">
        <w:rPr>
          <w:rFonts w:hint="eastAsia"/>
          <w:szCs w:val="21"/>
        </w:rPr>
        <w:t>货车），结果以数值格式显示，不保留小数；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5.</w:t>
      </w:r>
      <w:r w:rsidRPr="00035C7A">
        <w:rPr>
          <w:rFonts w:hint="eastAsia"/>
          <w:szCs w:val="21"/>
        </w:rPr>
        <w:t>在“私人汽车”工作表中，将</w:t>
      </w:r>
      <w:r w:rsidRPr="00035C7A">
        <w:rPr>
          <w:rFonts w:hint="eastAsia"/>
          <w:szCs w:val="21"/>
        </w:rPr>
        <w:t>A3:E3</w:t>
      </w:r>
      <w:r w:rsidRPr="00035C7A">
        <w:rPr>
          <w:rFonts w:hint="eastAsia"/>
          <w:szCs w:val="21"/>
        </w:rPr>
        <w:t>单元格背景色设置为标准色</w:t>
      </w:r>
      <w:r w:rsidRPr="00035C7A">
        <w:rPr>
          <w:rFonts w:hint="eastAsia"/>
          <w:szCs w:val="21"/>
        </w:rPr>
        <w:t>-</w:t>
      </w:r>
      <w:r w:rsidRPr="00035C7A">
        <w:rPr>
          <w:rFonts w:hint="eastAsia"/>
          <w:szCs w:val="21"/>
        </w:rPr>
        <w:t>黄色，并设置</w:t>
      </w:r>
      <w:r w:rsidRPr="00035C7A">
        <w:rPr>
          <w:rFonts w:hint="eastAsia"/>
          <w:szCs w:val="21"/>
        </w:rPr>
        <w:t>A3:E34</w:t>
      </w:r>
      <w:r w:rsidRPr="00035C7A">
        <w:rPr>
          <w:rFonts w:hint="eastAsia"/>
          <w:szCs w:val="21"/>
        </w:rPr>
        <w:t>单元格区域外框线为最粗单线、内框线为最细单线；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6.</w:t>
      </w:r>
      <w:r w:rsidRPr="00035C7A">
        <w:rPr>
          <w:rFonts w:hint="eastAsia"/>
          <w:szCs w:val="21"/>
        </w:rPr>
        <w:t>在“私人汽车”工作表中，隐藏</w:t>
      </w:r>
      <w:r w:rsidRPr="00035C7A">
        <w:rPr>
          <w:rFonts w:hint="eastAsia"/>
          <w:szCs w:val="21"/>
        </w:rPr>
        <w:t>F</w:t>
      </w:r>
      <w:r w:rsidRPr="00035C7A">
        <w:rPr>
          <w:rFonts w:hint="eastAsia"/>
          <w:szCs w:val="21"/>
        </w:rPr>
        <w:t>列至</w:t>
      </w:r>
      <w:r w:rsidRPr="00035C7A">
        <w:rPr>
          <w:rFonts w:hint="eastAsia"/>
          <w:szCs w:val="21"/>
        </w:rPr>
        <w:t>I</w:t>
      </w:r>
      <w:r w:rsidRPr="00035C7A">
        <w:rPr>
          <w:rFonts w:hint="eastAsia"/>
          <w:szCs w:val="21"/>
        </w:rPr>
        <w:t>列；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7.</w:t>
      </w:r>
      <w:r w:rsidRPr="00035C7A">
        <w:rPr>
          <w:rFonts w:hint="eastAsia"/>
          <w:szCs w:val="21"/>
        </w:rPr>
        <w:t>在“私人汽车”工作表中，筛选出总计超过</w:t>
      </w:r>
      <w:r w:rsidRPr="00035C7A">
        <w:rPr>
          <w:rFonts w:hint="eastAsia"/>
          <w:szCs w:val="21"/>
        </w:rPr>
        <w:t>300</w:t>
      </w:r>
      <w:r w:rsidRPr="00035C7A">
        <w:rPr>
          <w:rFonts w:hint="eastAsia"/>
          <w:szCs w:val="21"/>
        </w:rPr>
        <w:t>万辆的记录；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8.</w:t>
      </w:r>
      <w:r w:rsidRPr="00035C7A">
        <w:rPr>
          <w:rFonts w:hint="eastAsia"/>
          <w:szCs w:val="21"/>
        </w:rPr>
        <w:t>参考样张，在“私人汽车”工作表中，根据筛选出的地区及总计数据，生成一张“三维簇状柱形图”，嵌入当前工作表中，图表上方标题为“私人汽车拥有量排名前</w:t>
      </w:r>
      <w:r w:rsidRPr="00035C7A">
        <w:rPr>
          <w:rFonts w:hint="eastAsia"/>
          <w:szCs w:val="21"/>
        </w:rPr>
        <w:t>5</w:t>
      </w:r>
      <w:r w:rsidRPr="00035C7A">
        <w:rPr>
          <w:rFonts w:hint="eastAsia"/>
          <w:szCs w:val="21"/>
        </w:rPr>
        <w:t>的地区”，主要纵坐标轴竖排标题为“万辆”，无图例，数据标签显示值；</w:t>
      </w:r>
    </w:p>
    <w:p w:rsidR="00870EA2" w:rsidRDefault="00870EA2" w:rsidP="00870EA2">
      <w:pPr>
        <w:ind w:right="16"/>
        <w:rPr>
          <w:rFonts w:hint="eastAsia"/>
          <w:szCs w:val="21"/>
        </w:rPr>
      </w:pPr>
      <w:r w:rsidRPr="00035C7A">
        <w:rPr>
          <w:rFonts w:hint="eastAsia"/>
          <w:szCs w:val="21"/>
        </w:rPr>
        <w:t>9.</w:t>
      </w:r>
      <w:r w:rsidRPr="00035C7A">
        <w:rPr>
          <w:rFonts w:hint="eastAsia"/>
          <w:szCs w:val="21"/>
        </w:rPr>
        <w:t>保存文件</w:t>
      </w:r>
      <w:r w:rsidRPr="00035C7A">
        <w:rPr>
          <w:rFonts w:hint="eastAsia"/>
          <w:szCs w:val="21"/>
        </w:rPr>
        <w:t>EX7.XLSX</w:t>
      </w:r>
    </w:p>
    <w:p w:rsidR="00870EA2" w:rsidRPr="00803917" w:rsidRDefault="00870EA2" w:rsidP="00870EA2">
      <w:pPr>
        <w:ind w:right="16"/>
        <w:rPr>
          <w:szCs w:val="21"/>
        </w:rPr>
      </w:pPr>
      <w:r w:rsidRPr="00803917">
        <w:rPr>
          <w:rFonts w:hint="eastAsia"/>
          <w:szCs w:val="21"/>
        </w:rPr>
        <w:t>插图：</w:t>
      </w:r>
    </w:p>
    <w:p w:rsidR="00870EA2" w:rsidRDefault="00870EA2" w:rsidP="00870EA2">
      <w:pPr>
        <w:tabs>
          <w:tab w:val="left" w:pos="360"/>
        </w:tabs>
        <w:autoSpaceDE w:val="0"/>
        <w:autoSpaceDN w:val="0"/>
        <w:adjustRightInd w:val="0"/>
        <w:rPr>
          <w:rFonts w:ascii="宋体" w:eastAsia="宋体" w:hAnsi="Arial" w:cs="宋体" w:hint="eastAsia"/>
          <w:kern w:val="0"/>
          <w:sz w:val="32"/>
          <w:szCs w:val="32"/>
          <w:lang w:val="zh-CN"/>
        </w:rPr>
      </w:pPr>
      <w:r w:rsidRPr="00035C7A">
        <w:rPr>
          <w:rFonts w:ascii="宋体" w:eastAsia="宋体" w:hAnsi="Arial" w:cs="宋体"/>
          <w:b/>
          <w:i/>
          <w:noProof/>
          <w:w w:val="99"/>
          <w:kern w:val="0"/>
          <w:sz w:val="32"/>
          <w:szCs w:val="32"/>
        </w:rPr>
        <w:drawing>
          <wp:inline distT="0" distB="0" distL="0" distR="0">
            <wp:extent cx="5280660" cy="4861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486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打开</w:t>
      </w:r>
      <w:r w:rsidRPr="008457D9">
        <w:rPr>
          <w:rFonts w:hint="eastAsia"/>
          <w:szCs w:val="21"/>
        </w:rPr>
        <w:t xml:space="preserve"> </w:t>
      </w:r>
      <w:r w:rsidRPr="008457D9">
        <w:rPr>
          <w:rFonts w:hint="eastAsia"/>
          <w:szCs w:val="21"/>
        </w:rPr>
        <w:t>“中国四大书院</w:t>
      </w:r>
      <w:r w:rsidRPr="008457D9">
        <w:rPr>
          <w:rFonts w:hint="eastAsia"/>
          <w:szCs w:val="21"/>
        </w:rPr>
        <w:t>.pptx</w:t>
      </w:r>
      <w:r w:rsidRPr="008457D9">
        <w:rPr>
          <w:rFonts w:hint="eastAsia"/>
          <w:szCs w:val="21"/>
        </w:rPr>
        <w:t>”文件，按下列要求进行操作。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(1)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为所有幻灯片设置设计主题为“网格”；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(2)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将第</w:t>
      </w:r>
      <w:r w:rsidRPr="008457D9">
        <w:rPr>
          <w:rFonts w:hint="eastAsia"/>
          <w:szCs w:val="21"/>
        </w:rPr>
        <w:t>1</w:t>
      </w:r>
      <w:r w:rsidRPr="008457D9">
        <w:rPr>
          <w:rFonts w:hint="eastAsia"/>
          <w:szCs w:val="21"/>
        </w:rPr>
        <w:t>张幻灯片的版式改为标题幻灯片，并隐藏副标题；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(3)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参考样张，为第</w:t>
      </w:r>
      <w:r w:rsidRPr="008457D9">
        <w:rPr>
          <w:rFonts w:hint="eastAsia"/>
          <w:szCs w:val="21"/>
        </w:rPr>
        <w:t>3~6</w:t>
      </w:r>
      <w:r w:rsidRPr="008457D9">
        <w:rPr>
          <w:rFonts w:hint="eastAsia"/>
          <w:szCs w:val="21"/>
        </w:rPr>
        <w:t>张幻灯片添加相应的标题文字；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(4)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参考第</w:t>
      </w:r>
      <w:r w:rsidRPr="008457D9">
        <w:rPr>
          <w:rFonts w:hint="eastAsia"/>
          <w:szCs w:val="21"/>
        </w:rPr>
        <w:t>2</w:t>
      </w:r>
      <w:r w:rsidRPr="008457D9">
        <w:rPr>
          <w:rFonts w:hint="eastAsia"/>
          <w:szCs w:val="21"/>
        </w:rPr>
        <w:t>张“岳麓书院”文字所在图形设置的超链接，为其他文字所在图形添加相应的超链接，链接到相应标题的幻灯片，并修改图形形状为：缺角矩形；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lastRenderedPageBreak/>
        <w:t>(5)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利用动画刷，设置所有奇数页幻灯片中的标题文字动画效果为自左侧飞入，偶数页幻灯片中的标题文字动画效果为自右侧飞入；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(6)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设置所有幻灯片切换效果为自左侧擦除、持续时间为</w:t>
      </w:r>
      <w:r w:rsidRPr="008457D9">
        <w:rPr>
          <w:rFonts w:hint="eastAsia"/>
          <w:szCs w:val="21"/>
        </w:rPr>
        <w:t>2</w:t>
      </w:r>
      <w:r w:rsidRPr="008457D9">
        <w:rPr>
          <w:rFonts w:hint="eastAsia"/>
          <w:szCs w:val="21"/>
        </w:rPr>
        <w:t>秒，自动换片时间</w:t>
      </w:r>
      <w:r w:rsidRPr="008457D9">
        <w:rPr>
          <w:rFonts w:hint="eastAsia"/>
          <w:szCs w:val="21"/>
        </w:rPr>
        <w:t>3</w:t>
      </w:r>
      <w:r w:rsidRPr="008457D9">
        <w:rPr>
          <w:rFonts w:hint="eastAsia"/>
          <w:szCs w:val="21"/>
        </w:rPr>
        <w:t>秒；</w:t>
      </w:r>
    </w:p>
    <w:p w:rsidR="00870EA2" w:rsidRPr="008457D9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(7)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设置放映类型为：观众自行浏览</w:t>
      </w:r>
      <w:r w:rsidRPr="008457D9">
        <w:rPr>
          <w:rFonts w:hint="eastAsia"/>
          <w:szCs w:val="21"/>
        </w:rPr>
        <w:t>(</w:t>
      </w:r>
      <w:r w:rsidRPr="008457D9">
        <w:rPr>
          <w:rFonts w:hint="eastAsia"/>
          <w:szCs w:val="21"/>
        </w:rPr>
        <w:t>窗口</w:t>
      </w:r>
      <w:r w:rsidRPr="008457D9">
        <w:rPr>
          <w:rFonts w:hint="eastAsia"/>
          <w:szCs w:val="21"/>
        </w:rPr>
        <w:t>)</w:t>
      </w:r>
      <w:r w:rsidRPr="008457D9">
        <w:rPr>
          <w:rFonts w:hint="eastAsia"/>
          <w:szCs w:val="21"/>
        </w:rPr>
        <w:t>；</w:t>
      </w:r>
    </w:p>
    <w:p w:rsidR="00870EA2" w:rsidRPr="00035C7A" w:rsidRDefault="00870EA2" w:rsidP="00870EA2">
      <w:pPr>
        <w:ind w:right="16"/>
        <w:rPr>
          <w:rFonts w:hint="eastAsia"/>
          <w:szCs w:val="21"/>
        </w:rPr>
      </w:pPr>
      <w:r w:rsidRPr="008457D9">
        <w:rPr>
          <w:rFonts w:hint="eastAsia"/>
          <w:szCs w:val="21"/>
        </w:rPr>
        <w:t>(8)</w:t>
      </w:r>
      <w:r w:rsidRPr="008457D9">
        <w:rPr>
          <w:rFonts w:hint="eastAsia"/>
          <w:szCs w:val="21"/>
        </w:rPr>
        <w:tab/>
      </w:r>
      <w:r w:rsidRPr="008457D9">
        <w:rPr>
          <w:rFonts w:hint="eastAsia"/>
          <w:szCs w:val="21"/>
        </w:rPr>
        <w:t>保存“中国四大书院</w:t>
      </w:r>
      <w:r w:rsidRPr="008457D9">
        <w:rPr>
          <w:rFonts w:hint="eastAsia"/>
          <w:szCs w:val="21"/>
        </w:rPr>
        <w:t>.pptx</w:t>
      </w:r>
      <w:r w:rsidRPr="008457D9">
        <w:rPr>
          <w:rFonts w:hint="eastAsia"/>
          <w:szCs w:val="21"/>
        </w:rPr>
        <w:t>”。</w:t>
      </w:r>
    </w:p>
    <w:p w:rsidR="00870EA2" w:rsidRPr="00035C7A" w:rsidRDefault="00870EA2" w:rsidP="00870EA2">
      <w:pPr>
        <w:ind w:right="16"/>
        <w:rPr>
          <w:szCs w:val="21"/>
        </w:rPr>
      </w:pPr>
    </w:p>
    <w:p w:rsidR="00870EA2" w:rsidRPr="00035C7A" w:rsidRDefault="00870EA2" w:rsidP="00870EA2">
      <w:pPr>
        <w:ind w:right="16"/>
        <w:rPr>
          <w:rFonts w:ascii="仿宋" w:eastAsia="仿宋" w:hAnsi="仿宋" w:hint="eastAsia"/>
          <w:szCs w:val="24"/>
        </w:rPr>
      </w:pPr>
      <w:r w:rsidRPr="008457D9">
        <w:rPr>
          <w:rFonts w:ascii="宋体" w:eastAsia="宋体" w:hAnsi="Arial" w:cs="宋体"/>
          <w:noProof/>
          <w:kern w:val="0"/>
          <w:sz w:val="32"/>
          <w:szCs w:val="32"/>
        </w:rPr>
        <w:drawing>
          <wp:inline distT="0" distB="0" distL="0" distR="0">
            <wp:extent cx="5646420" cy="475488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6420" cy="475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0617" w:rsidRDefault="00A70617"/>
    <w:sectPr w:rsidR="00A706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676" w:rsidRDefault="007C5676" w:rsidP="00870EA2">
      <w:r>
        <w:separator/>
      </w:r>
    </w:p>
  </w:endnote>
  <w:endnote w:type="continuationSeparator" w:id="0">
    <w:p w:rsidR="007C5676" w:rsidRDefault="007C5676" w:rsidP="00870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676" w:rsidRDefault="007C5676" w:rsidP="00870EA2">
      <w:r>
        <w:separator/>
      </w:r>
    </w:p>
  </w:footnote>
  <w:footnote w:type="continuationSeparator" w:id="0">
    <w:p w:rsidR="007C5676" w:rsidRDefault="007C5676" w:rsidP="00870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71A"/>
    <w:rsid w:val="000C7D9E"/>
    <w:rsid w:val="007C5676"/>
    <w:rsid w:val="00870EA2"/>
    <w:rsid w:val="0088271A"/>
    <w:rsid w:val="00A70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2D8611"/>
  <w15:chartTrackingRefBased/>
  <w15:docId w15:val="{1D8770F6-2C4F-43DE-B4A7-F91056E5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0EA2"/>
    <w:pPr>
      <w:widowControl w:val="0"/>
      <w:jc w:val="both"/>
    </w:pPr>
    <w:rPr>
      <w:rFonts w:ascii="Times New Roman" w:eastAsia="仿宋_GB2312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0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70EA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70E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70E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Njtvu</dc:creator>
  <cp:keywords/>
  <dc:description/>
  <cp:lastModifiedBy>Njtvu</cp:lastModifiedBy>
  <cp:revision>3</cp:revision>
  <dcterms:created xsi:type="dcterms:W3CDTF">2023-05-16T06:24:00Z</dcterms:created>
  <dcterms:modified xsi:type="dcterms:W3CDTF">2023-05-16T06:25:00Z</dcterms:modified>
</cp:coreProperties>
</file>